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03 SEND Behaviour Policy</w:t>
      </w:r>
    </w:p>
    <w:p>
      <w:r>
        <w:t>The Tiny Pony Project</w:t>
        <w:br/>
        <w:t>Version: 1.0</w:t>
        <w:br/>
        <w:t>Responsible Person: Lottie (Project Lead)</w:t>
        <w:br/>
        <w:t>Supervision Ratio: 1:6 (1 lead + 1 support adult)</w:t>
        <w:br/>
      </w:r>
    </w:p>
    <w:p>
      <w:pPr>
        <w:pStyle w:val="Heading1"/>
      </w:pPr>
      <w:r>
        <w:t>Approach</w:t>
      </w:r>
    </w:p>
    <w:p>
      <w:r>
        <w:t>Child-led, calm, non-punitive environment.</w:t>
      </w:r>
    </w:p>
    <w:p>
      <w:r>
        <w:t>Focus on emotional safety and regulation.</w:t>
      </w:r>
    </w:p>
    <w:p>
      <w:pPr>
        <w:pStyle w:val="Heading1"/>
      </w:pPr>
      <w:r>
        <w:t>Triggers</w:t>
      </w:r>
    </w:p>
    <w:p>
      <w:r>
        <w:t>Noise, sudden movement, animal unpredictability.</w:t>
      </w:r>
    </w:p>
    <w:p>
      <w:r>
        <w:t>Transitions between activities.</w:t>
      </w:r>
    </w:p>
    <w:p>
      <w:pPr>
        <w:pStyle w:val="Heading1"/>
      </w:pPr>
      <w:r>
        <w:t>De-escalation</w:t>
      </w:r>
    </w:p>
    <w:p>
      <w:r>
        <w:t>Move child to quiet space.</w:t>
      </w:r>
    </w:p>
    <w:p>
      <w:r>
        <w:t>Reduce sensory input.</w:t>
      </w:r>
    </w:p>
    <w:p>
      <w:r>
        <w:t>Calm reassurance from adult.</w:t>
      </w:r>
    </w:p>
    <w:p>
      <w:pPr>
        <w:pStyle w:val="Heading1"/>
      </w:pPr>
      <w:r>
        <w:t>Safety Near Animals</w:t>
      </w:r>
    </w:p>
    <w:p>
      <w:r>
        <w:t>If behaviour becomes unsafe, child is moved away immediately.</w:t>
      </w:r>
    </w:p>
    <w:p>
      <w:r>
        <w:t>Session continues only when safe.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