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Safeguarding Flowchart</w:t>
      </w:r>
    </w:p>
    <w:p>
      <w:pPr>
        <w:pStyle w:val="Heading1"/>
      </w:pPr>
      <w:r>
        <w:t>Process</w:t>
      </w:r>
    </w:p>
    <w:p>
      <w:r>
        <w:t>1. Identify concern</w:t>
      </w:r>
    </w:p>
    <w:p>
      <w:r>
        <w:t>2. Record</w:t>
      </w:r>
    </w:p>
    <w:p>
      <w:r>
        <w:t>3. Report to DSL</w:t>
      </w:r>
    </w:p>
    <w:p>
      <w:r>
        <w:t>4. DSL assesses</w:t>
      </w:r>
    </w:p>
    <w:p>
      <w:r>
        <w:t>5. Refer to MASH if required</w:t>
      </w:r>
    </w:p>
    <w:p>
      <w:r>
        <w:t>6. Record securely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