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Staff Code of Conduct</w:t>
      </w:r>
    </w:p>
    <w:p>
      <w:pPr>
        <w:pStyle w:val="Heading1"/>
      </w:pPr>
      <w:r>
        <w:t>Professional Conduct</w:t>
      </w:r>
    </w:p>
    <w:p>
      <w:r>
        <w:t>Maintain clear boundaries.</w:t>
      </w:r>
    </w:p>
    <w:p>
      <w:r>
        <w:t>No inappropriate contact.</w:t>
      </w:r>
    </w:p>
    <w:p>
      <w:r>
        <w:t>No private communication with children.</w:t>
      </w:r>
    </w:p>
    <w:p>
      <w:pPr>
        <w:pStyle w:val="Heading1"/>
      </w:pPr>
      <w:r>
        <w:t>Safeguarding Duty</w:t>
      </w:r>
    </w:p>
    <w:p>
      <w:r>
        <w:t>Report all concerns immediately.</w:t>
      </w:r>
    </w:p>
    <w:p>
      <w:r>
        <w:t>Follow DSL guidance.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