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Safeguarding Policy (Inspection Ready)</w:t>
      </w:r>
    </w:p>
    <w:p>
      <w:pPr>
        <w:pStyle w:val="Heading1"/>
      </w:pPr>
      <w:r>
        <w:t>Legal Framework</w:t>
      </w:r>
    </w:p>
    <w:p>
      <w:r>
        <w:t>This policy is in line with Keeping Children Safe in Education (KCSIE) and Working Together to Safeguard Children.</w:t>
      </w:r>
    </w:p>
    <w:p>
      <w:r>
        <w:t>It follows Dorset Safeguarding Children Partnership procedures.</w:t>
      </w:r>
    </w:p>
    <w:p>
      <w:r>
        <w:t>The welfare of the child is paramount.</w:t>
      </w:r>
    </w:p>
    <w:p>
      <w:pPr>
        <w:pStyle w:val="Heading1"/>
      </w:pPr>
      <w:r>
        <w:t>DSL</w:t>
      </w:r>
    </w:p>
    <w:p>
      <w:r>
        <w:t>Designated Safeguarding Lead: Lottie Lobb</w:t>
      </w:r>
    </w:p>
    <w:p>
      <w:r>
        <w:t>The DSL will liaise with Dorset Children's Services (MASH) and the Local Authority Designated Officer (LADO).</w:t>
      </w:r>
    </w:p>
    <w:p>
      <w:pPr>
        <w:pStyle w:val="Heading1"/>
      </w:pPr>
      <w:r>
        <w:t>Procedures</w:t>
      </w:r>
    </w:p>
    <w:p>
      <w:r>
        <w:t>All concerns must be recorded immediately.</w:t>
      </w:r>
    </w:p>
    <w:p>
      <w:r>
        <w:t>Concerns are reported to the DSL without delay.</w:t>
      </w:r>
    </w:p>
    <w:p>
      <w:r>
        <w:t>The DSL will make referrals where necessary.</w:t>
      </w:r>
    </w:p>
    <w:p>
      <w:r>
        <w:t>Emergency concerns will be referred to 999.</w:t>
      </w:r>
    </w:p>
    <w:p>
      <w:pPr>
        <w:pStyle w:val="Heading1"/>
      </w:pPr>
      <w:r>
        <w:t>Safer Recruitment</w:t>
      </w:r>
    </w:p>
    <w:p>
      <w:r>
        <w:t>Enhanced DBS checks required.</w:t>
      </w:r>
    </w:p>
    <w:p>
      <w:r>
        <w:t>References obtained.</w:t>
      </w:r>
    </w:p>
    <w:p>
      <w:r>
        <w:t>Ongoing safeguarding training required.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